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C33F" w14:textId="77777777" w:rsidR="00EE2342" w:rsidRPr="00392789" w:rsidRDefault="00EE2342" w:rsidP="00EE2342">
      <w:pPr>
        <w:pStyle w:val="Heading2"/>
        <w:rPr>
          <w:szCs w:val="28"/>
          <w:lang w:val="sr-Cyrl-RS"/>
        </w:rPr>
      </w:pPr>
      <w:bookmarkStart w:id="0" w:name="_Toc52697387"/>
      <w:r w:rsidRPr="00392789">
        <w:rPr>
          <w:szCs w:val="28"/>
        </w:rPr>
        <w:t>ПРИЛОГ 1</w:t>
      </w:r>
      <w:r w:rsidRPr="00392789">
        <w:rPr>
          <w:szCs w:val="28"/>
          <w:lang w:val="sr-Cyrl-RS"/>
        </w:rPr>
        <w:t>.2.</w:t>
      </w:r>
    </w:p>
    <w:p w14:paraId="27CB1E6E" w14:textId="77777777" w:rsidR="00EE2342" w:rsidRPr="00392789" w:rsidRDefault="00EE2342" w:rsidP="00EE2342">
      <w:pPr>
        <w:rPr>
          <w:rFonts w:asciiTheme="minorHAnsi" w:hAnsiTheme="minorHAnsi" w:cstheme="minorHAnsi"/>
          <w:sz w:val="28"/>
          <w:szCs w:val="28"/>
          <w:lang w:val="sr-Cyrl-RS"/>
        </w:rPr>
      </w:pPr>
    </w:p>
    <w:p w14:paraId="365B33EF" w14:textId="77777777" w:rsidR="00EE2342" w:rsidRPr="00392789" w:rsidRDefault="00EE2342" w:rsidP="00EE2342">
      <w:pPr>
        <w:spacing w:line="360" w:lineRule="auto"/>
        <w:ind w:left="-180" w:firstLine="180"/>
        <w:jc w:val="center"/>
        <w:rPr>
          <w:rFonts w:asciiTheme="minorHAnsi" w:eastAsia="Times New Roman" w:hAnsiTheme="minorHAnsi" w:cstheme="minorHAnsi"/>
          <w:b/>
          <w:color w:val="4472C4" w:themeColor="accent1"/>
          <w:sz w:val="28"/>
          <w:szCs w:val="28"/>
        </w:rPr>
      </w:pPr>
      <w:r w:rsidRPr="00392789">
        <w:rPr>
          <w:rFonts w:asciiTheme="minorHAnsi" w:eastAsia="Times New Roman" w:hAnsiTheme="minorHAnsi" w:cstheme="minorHAnsi"/>
          <w:b/>
          <w:color w:val="4472C4" w:themeColor="accent1"/>
          <w:sz w:val="28"/>
          <w:szCs w:val="28"/>
        </w:rPr>
        <w:t>ПРОТОКОЛ ЗА АНАЛИЗУ САДРЖАЈА (СА АНАЛИЗИРАНИМ ЕЛЕМЕНТИМА)</w:t>
      </w:r>
      <w:bookmarkEnd w:id="0"/>
    </w:p>
    <w:p w14:paraId="63E426B9" w14:textId="77777777" w:rsidR="00EE2342" w:rsidRPr="00392789" w:rsidRDefault="00EE2342" w:rsidP="00EE2342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GridTable4-Accent1"/>
        <w:tblW w:w="5000" w:type="pct"/>
        <w:tblLook w:val="0600" w:firstRow="0" w:lastRow="0" w:firstColumn="0" w:lastColumn="0" w:noHBand="1" w:noVBand="1"/>
      </w:tblPr>
      <w:tblGrid>
        <w:gridCol w:w="2547"/>
        <w:gridCol w:w="6946"/>
        <w:gridCol w:w="4455"/>
      </w:tblGrid>
      <w:tr w:rsidR="00EE2342" w:rsidRPr="00392789" w14:paraId="30216C9D" w14:textId="77777777" w:rsidTr="00EE2342">
        <w:trPr>
          <w:trHeight w:val="20"/>
          <w:tblHeader/>
        </w:trPr>
        <w:tc>
          <w:tcPr>
            <w:tcW w:w="913" w:type="pct"/>
            <w:vAlign w:val="center"/>
          </w:tcPr>
          <w:p w14:paraId="42AE6B50" w14:textId="77777777" w:rsidR="00EE2342" w:rsidRPr="00392789" w:rsidRDefault="00EE2342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Сегмент</w:t>
            </w:r>
            <w:proofErr w:type="spellEnd"/>
            <w:r w:rsidRPr="0039278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анализе</w:t>
            </w:r>
            <w:proofErr w:type="spellEnd"/>
          </w:p>
        </w:tc>
        <w:tc>
          <w:tcPr>
            <w:tcW w:w="2490" w:type="pct"/>
            <w:vAlign w:val="center"/>
          </w:tcPr>
          <w:p w14:paraId="3857A950" w14:textId="59D66DBA" w:rsidR="00EE2342" w:rsidRPr="00392789" w:rsidRDefault="00EE2342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Јединице</w:t>
            </w:r>
            <w:proofErr w:type="spellEnd"/>
            <w:r w:rsidRPr="0039278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анализе</w:t>
            </w:r>
            <w:proofErr w:type="spellEnd"/>
          </w:p>
        </w:tc>
        <w:tc>
          <w:tcPr>
            <w:tcW w:w="1597" w:type="pct"/>
            <w:vAlign w:val="center"/>
          </w:tcPr>
          <w:p w14:paraId="16074652" w14:textId="77777777" w:rsidR="00EE2342" w:rsidRPr="00392789" w:rsidRDefault="00EE2342" w:rsidP="00EE2342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Одабрани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релевантн</w:t>
            </w:r>
            <w:proofErr w:type="spellEnd"/>
            <w:r w:rsidRPr="0039278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  <w:b/>
              </w:rPr>
              <w:t>елементи</w:t>
            </w:r>
            <w:proofErr w:type="spellEnd"/>
          </w:p>
        </w:tc>
      </w:tr>
      <w:tr w:rsidR="00EE2342" w:rsidRPr="00392789" w14:paraId="3F9461DB" w14:textId="77777777" w:rsidTr="00EE2342">
        <w:trPr>
          <w:trHeight w:val="20"/>
        </w:trPr>
        <w:tc>
          <w:tcPr>
            <w:tcW w:w="913" w:type="pct"/>
          </w:tcPr>
          <w:p w14:paraId="0D509F0D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Законодавни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оквир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уређује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процес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стручног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усавршавања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службеника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Републике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90" w:type="pct"/>
          </w:tcPr>
          <w:p w14:paraId="68F26B4B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државним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службеницима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запосленима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јединицама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локалне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самоуправе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Националној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академији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управу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Уредба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одређивању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компетениција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рад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државних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службеника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597" w:type="pct"/>
          </w:tcPr>
          <w:p w14:paraId="370B1794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Анализом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наведених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докумената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донете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одлуке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креирању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развоју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методологије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стандардних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инструмената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припрему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спровођење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Такође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наведени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правни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оквир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имати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пресудну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улогу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осмишљавању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креирању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конкретних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обука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коначан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циљ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овог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Анализом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наведених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докумената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донета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одлука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садржају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Упитника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као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темама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испитаницима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учествовали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квалитативном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сегмент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Интервјуи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Фокус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групе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EE2342" w:rsidRPr="00392789" w14:paraId="612617D6" w14:textId="77777777" w:rsidTr="00EE2342">
        <w:trPr>
          <w:trHeight w:val="20"/>
        </w:trPr>
        <w:tc>
          <w:tcPr>
            <w:tcW w:w="913" w:type="pct"/>
          </w:tcPr>
          <w:p w14:paraId="3A7AE746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Уставни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стратешки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законски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оквир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Републике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уређује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lastRenderedPageBreak/>
              <w:t>сектор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безбедности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организује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систематски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одговор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препознате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безбедносне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изазове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ризике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претње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490" w:type="pct"/>
          </w:tcPr>
          <w:p w14:paraId="5251435D" w14:textId="77777777" w:rsidR="00EE2342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lastRenderedPageBreak/>
              <w:t>Устав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Републике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Народној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скупштини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полицији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одбрани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Војсци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Војнобезбедносној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агенцији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Војнообавештајној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агенцији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lastRenderedPageBreak/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Безбедносно-информативној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агенцији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основама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уређења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служби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392789">
              <w:rPr>
                <w:rFonts w:asciiTheme="minorHAnsi" w:eastAsia="Times New Roman" w:hAnsiTheme="minorHAnsi" w:cstheme="minorHAnsi"/>
              </w:rPr>
              <w:t>безбедности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;</w:t>
            </w:r>
            <w:proofErr w:type="gram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80744AB" w14:textId="56DF5F20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r w:rsidRPr="00392789">
              <w:rPr>
                <w:rFonts w:asciiTheme="minorHAnsi" w:eastAsia="Times New Roman" w:hAnsiTheme="minorHAnsi" w:cstheme="minorHAnsi"/>
              </w:rPr>
              <w:t>*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уређује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рад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осталих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органа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управе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укључених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наведено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истраживање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0AF4AC0F" w14:textId="77777777" w:rsidR="00EE2342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тајности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слободном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приступу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информацијама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јавног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значаја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забрани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392789">
              <w:rPr>
                <w:rFonts w:asciiTheme="minorHAnsi" w:eastAsia="Times New Roman" w:hAnsiTheme="minorHAnsi" w:cstheme="minorHAnsi"/>
              </w:rPr>
              <w:t>дискриминације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;</w:t>
            </w:r>
            <w:proofErr w:type="gram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9E21E99" w14:textId="1292207A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r w:rsidRPr="00392789">
              <w:rPr>
                <w:rFonts w:asciiTheme="minorHAnsi" w:eastAsia="Times New Roman" w:hAnsiTheme="minorHAnsi" w:cstheme="minorHAnsi"/>
              </w:rPr>
              <w:t>*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Остали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значајни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поштовање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људских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права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грађана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5CA3D67E" w14:textId="77777777" w:rsidR="00EE2342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Статегија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националне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безбедности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Републике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Стратегија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борбу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против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високотехнолошког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криминала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2019-2023.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године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Стратегија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превенције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сузбијања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трговине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људима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посебно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женама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децом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заштите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жртава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2017–2022;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Национална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стратегија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заштите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спасавања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ванредним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ситуацијама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2BCC28E" w14:textId="54019AFE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r w:rsidRPr="00392789">
              <w:rPr>
                <w:rFonts w:asciiTheme="minorHAnsi" w:eastAsia="Times New Roman" w:hAnsiTheme="minorHAnsi" w:cstheme="minorHAnsi"/>
              </w:rPr>
              <w:t>*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Остале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стратегије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акциони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планови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њихово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спровођење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закони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којима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планира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усмерава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уређује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област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безбедности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Републике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Србије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597" w:type="pct"/>
          </w:tcPr>
          <w:p w14:paraId="3E807570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</w:p>
        </w:tc>
      </w:tr>
      <w:tr w:rsidR="00EE2342" w:rsidRPr="00392789" w14:paraId="3BFA607A" w14:textId="77777777" w:rsidTr="00EE2342">
        <w:trPr>
          <w:trHeight w:val="20"/>
        </w:trPr>
        <w:tc>
          <w:tcPr>
            <w:tcW w:w="913" w:type="pct"/>
          </w:tcPr>
          <w:p w14:paraId="0D6D57E5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Евалуациони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извештаји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документа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НАПА</w:t>
            </w:r>
          </w:p>
        </w:tc>
        <w:tc>
          <w:tcPr>
            <w:tcW w:w="2490" w:type="pct"/>
          </w:tcPr>
          <w:p w14:paraId="07FFC2D9" w14:textId="3A36858D" w:rsidR="00EE2342" w:rsidRPr="00EE2342" w:rsidRDefault="00EE2342" w:rsidP="00EE2342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Анализа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потреба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стручним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усавршавањем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запослених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јавној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управи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за </w:t>
            </w:r>
            <w:r w:rsidRPr="00392789">
              <w:rPr>
                <w:rFonts w:asciiTheme="minorHAnsi" w:eastAsia="Times New Roman" w:hAnsiTheme="minorHAnsi" w:cstheme="minorHAnsi"/>
              </w:rPr>
              <w:t>202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1</w:t>
            </w:r>
          </w:p>
          <w:p w14:paraId="36D195ED" w14:textId="55F50645" w:rsidR="00EE2342" w:rsidRPr="00EE2342" w:rsidRDefault="00EE2342" w:rsidP="00EE2342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t xml:space="preserve">Анализа потреба за стручним усавршавањем запослених у јавној управи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за </w:t>
            </w: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t>2020</w:t>
            </w:r>
          </w:p>
          <w:p w14:paraId="2171859C" w14:textId="202B2821" w:rsidR="00EE2342" w:rsidRPr="00EE2342" w:rsidRDefault="00EE2342" w:rsidP="00EE2342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Анализа потреба за стручним усавршавањем запослених у државној управи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за</w:t>
            </w: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t xml:space="preserve"> 2019</w:t>
            </w:r>
          </w:p>
          <w:p w14:paraId="1B1F635A" w14:textId="165F08C0" w:rsidR="00EE2342" w:rsidRPr="00EE2342" w:rsidRDefault="00EE2342" w:rsidP="00EE2342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t xml:space="preserve">Анализа потреба за стручним усавршавањем запослених у јединицама локалне самоуправе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за </w:t>
            </w:r>
            <w:r w:rsidRPr="00EE2342">
              <w:rPr>
                <w:rFonts w:asciiTheme="minorHAnsi" w:eastAsia="Times New Roman" w:hAnsiTheme="minorHAnsi" w:cstheme="minorHAnsi"/>
                <w:lang w:val="sr-Cyrl-RS"/>
              </w:rPr>
              <w:t>2019</w:t>
            </w:r>
          </w:p>
          <w:p w14:paraId="1E333795" w14:textId="77777777" w:rsidR="00EE2342" w:rsidRPr="00392789" w:rsidRDefault="00EE2342" w:rsidP="00EE2342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Упутство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методологији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утврђивање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потреба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за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стручним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усавршавањем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органима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јавне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управе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597" w:type="pct"/>
          </w:tcPr>
          <w:p w14:paraId="2DE81856" w14:textId="77777777" w:rsidR="00EE2342" w:rsidRPr="00392789" w:rsidRDefault="00EE2342" w:rsidP="00EE2342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lastRenderedPageBreak/>
              <w:t>Анализа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евалуационих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листова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Анализа</w:t>
            </w:r>
            <w:proofErr w:type="spellEnd"/>
            <w:r w:rsidRPr="0039278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92789">
              <w:rPr>
                <w:rFonts w:asciiTheme="minorHAnsi" w:eastAsia="Times New Roman" w:hAnsiTheme="minorHAnsi" w:cstheme="minorHAnsi"/>
              </w:rPr>
              <w:t>препорука</w:t>
            </w:r>
            <w:proofErr w:type="spellEnd"/>
          </w:p>
        </w:tc>
      </w:tr>
    </w:tbl>
    <w:p w14:paraId="0F53FBDE" w14:textId="77777777" w:rsidR="00EE2342" w:rsidRPr="00392789" w:rsidRDefault="00EE2342" w:rsidP="00EE2342">
      <w:pPr>
        <w:rPr>
          <w:rFonts w:asciiTheme="minorHAnsi" w:hAnsiTheme="minorHAnsi" w:cstheme="minorHAnsi"/>
        </w:rPr>
      </w:pPr>
    </w:p>
    <w:p w14:paraId="7782473B" w14:textId="77777777" w:rsidR="0055122A" w:rsidRDefault="0055122A"/>
    <w:sectPr w:rsidR="0055122A" w:rsidSect="00EE2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2"/>
    <w:rsid w:val="000A7FAA"/>
    <w:rsid w:val="0055122A"/>
    <w:rsid w:val="00EB755C"/>
    <w:rsid w:val="00E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34F"/>
  <w15:chartTrackingRefBased/>
  <w15:docId w15:val="{D38C2F14-A5BF-41B1-8B44-A2E9925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42"/>
    <w:rPr>
      <w:rFonts w:ascii="Cambria" w:eastAsia="Cambria" w:hAnsi="Cambria" w:cs="Cambr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342"/>
    <w:pPr>
      <w:keepNext/>
      <w:keepLines/>
      <w:spacing w:before="360" w:after="80"/>
      <w:ind w:left="-180" w:firstLine="180"/>
      <w:jc w:val="center"/>
      <w:outlineLvl w:val="1"/>
    </w:pPr>
    <w:rPr>
      <w:rFonts w:asciiTheme="minorHAnsi" w:eastAsia="Times New Roman" w:hAnsiTheme="minorHAnsi" w:cstheme="minorHAnsi"/>
      <w:iCs/>
      <w:sz w:val="28"/>
      <w:szCs w:val="36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342"/>
    <w:rPr>
      <w:rFonts w:eastAsia="Times New Roman" w:cstheme="minorHAnsi"/>
      <w:iCs/>
      <w:sz w:val="28"/>
      <w:szCs w:val="36"/>
      <w:lang w:val="sr"/>
    </w:rPr>
  </w:style>
  <w:style w:type="table" w:styleId="GridTable4-Accent1">
    <w:name w:val="Grid Table 4 Accent 1"/>
    <w:basedOn w:val="TableNormal"/>
    <w:uiPriority w:val="49"/>
    <w:rsid w:val="00EE23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Abramović</dc:creator>
  <cp:keywords/>
  <dc:description/>
  <cp:lastModifiedBy>Snežana Abramović</cp:lastModifiedBy>
  <cp:revision>1</cp:revision>
  <dcterms:created xsi:type="dcterms:W3CDTF">2021-04-14T07:50:00Z</dcterms:created>
  <dcterms:modified xsi:type="dcterms:W3CDTF">2021-04-14T07:56:00Z</dcterms:modified>
</cp:coreProperties>
</file>